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Излучивање, надражљивост, покретљивост, размножавање, раст и развиће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Систематизација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Систематизовање знања из теме Порекло и разноврсност живота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Подели организме према броју ћелија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грађу ћелије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класификацију живих бића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процесе који се одвијају код живих бића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метода писања,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Папир А3 формата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објашњава ученицима како се израђује мапа ума.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сваком ученику даје папире. На табли записује централни појам мапе ума: Порекло и разноврсност живог света. Ученицима олакшава њено цртање тако што централни појам повезује са четири нова: Увод у биологију, Ћелија, Класификација живих бића и Особине живих бића. Даље цртање мапе ума ученици настављају сами да раде.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прегледа шта су ученици урадили. Оцењује најбоље радове и образлаже оцену.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6D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